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9125" w14:textId="77777777" w:rsidR="00286226" w:rsidRPr="00166DC0" w:rsidRDefault="00286226">
      <w:pPr>
        <w:rPr>
          <w:rFonts w:cstheme="minorHAnsi"/>
          <w:b/>
          <w:sz w:val="32"/>
          <w:szCs w:val="32"/>
        </w:rPr>
      </w:pPr>
      <w:r w:rsidRPr="00166DC0">
        <w:rPr>
          <w:rFonts w:cstheme="minorHAnsi"/>
          <w:b/>
          <w:sz w:val="32"/>
          <w:szCs w:val="32"/>
        </w:rPr>
        <w:t xml:space="preserve">CURSO DE ESPECIALIZACIÓN EN </w:t>
      </w:r>
      <w:r w:rsidR="0062414A" w:rsidRPr="00166DC0">
        <w:rPr>
          <w:rFonts w:cstheme="minorHAnsi"/>
          <w:b/>
          <w:sz w:val="32"/>
          <w:szCs w:val="32"/>
        </w:rPr>
        <w:t xml:space="preserve">POLÍTICA DE COMPETENCIA Y </w:t>
      </w:r>
      <w:r w:rsidRPr="00166DC0">
        <w:rPr>
          <w:rFonts w:cstheme="minorHAnsi"/>
          <w:b/>
          <w:sz w:val="32"/>
          <w:szCs w:val="32"/>
        </w:rPr>
        <w:t xml:space="preserve">MEJORA DE LA REGULACIÓN </w:t>
      </w:r>
      <w:r w:rsidR="0062414A" w:rsidRPr="00166DC0">
        <w:rPr>
          <w:rFonts w:cstheme="minorHAnsi"/>
          <w:b/>
          <w:sz w:val="32"/>
          <w:szCs w:val="32"/>
        </w:rPr>
        <w:t>ECONÓMICA</w:t>
      </w:r>
      <w:r w:rsidRPr="00166DC0">
        <w:rPr>
          <w:rFonts w:cstheme="minorHAnsi"/>
          <w:b/>
          <w:sz w:val="32"/>
          <w:szCs w:val="32"/>
        </w:rPr>
        <w:t xml:space="preserve"> </w:t>
      </w:r>
    </w:p>
    <w:p w14:paraId="7FF9FB93" w14:textId="77777777" w:rsidR="002A0684" w:rsidRPr="00501320" w:rsidRDefault="00286226" w:rsidP="00A0400E">
      <w:pPr>
        <w:spacing w:after="0"/>
        <w:rPr>
          <w:rFonts w:cstheme="minorHAnsi"/>
          <w:b/>
        </w:rPr>
      </w:pPr>
      <w:r w:rsidRPr="00501320">
        <w:rPr>
          <w:rFonts w:cstheme="minorHAnsi"/>
          <w:b/>
        </w:rPr>
        <w:t>0</w:t>
      </w:r>
      <w:r w:rsidR="0052344E" w:rsidRPr="00501320">
        <w:rPr>
          <w:rFonts w:cstheme="minorHAnsi"/>
          <w:b/>
        </w:rPr>
        <w:t>1</w:t>
      </w:r>
      <w:r w:rsidRPr="00501320">
        <w:rPr>
          <w:rFonts w:cstheme="minorHAnsi"/>
          <w:b/>
        </w:rPr>
        <w:t>/</w:t>
      </w:r>
      <w:r w:rsidR="0052344E" w:rsidRPr="00501320">
        <w:rPr>
          <w:rFonts w:cstheme="minorHAnsi"/>
          <w:b/>
        </w:rPr>
        <w:t>10</w:t>
      </w:r>
      <w:r w:rsidRPr="00501320">
        <w:rPr>
          <w:rFonts w:cstheme="minorHAnsi"/>
          <w:b/>
        </w:rPr>
        <w:t xml:space="preserve">/2019 - </w:t>
      </w:r>
      <w:r w:rsidR="0052344E" w:rsidRPr="00501320">
        <w:rPr>
          <w:rFonts w:cstheme="minorHAnsi"/>
          <w:b/>
        </w:rPr>
        <w:t>3</w:t>
      </w:r>
      <w:r w:rsidR="00312E07" w:rsidRPr="00501320">
        <w:rPr>
          <w:rFonts w:cstheme="minorHAnsi"/>
          <w:b/>
        </w:rPr>
        <w:t>0</w:t>
      </w:r>
      <w:r w:rsidRPr="00501320">
        <w:rPr>
          <w:rFonts w:cstheme="minorHAnsi"/>
          <w:b/>
        </w:rPr>
        <w:t>/</w:t>
      </w:r>
      <w:r w:rsidR="0052344E" w:rsidRPr="00501320">
        <w:rPr>
          <w:rFonts w:cstheme="minorHAnsi"/>
          <w:b/>
        </w:rPr>
        <w:t>10</w:t>
      </w:r>
      <w:r w:rsidRPr="00501320">
        <w:rPr>
          <w:rFonts w:cstheme="minorHAnsi"/>
          <w:b/>
        </w:rPr>
        <w:t>/2019</w:t>
      </w:r>
    </w:p>
    <w:p w14:paraId="34352D04" w14:textId="77777777" w:rsidR="00A0400E" w:rsidRPr="00501320" w:rsidRDefault="00A0400E" w:rsidP="00A0400E">
      <w:pPr>
        <w:spacing w:after="0"/>
        <w:rPr>
          <w:rFonts w:cstheme="minorHAnsi"/>
          <w:b/>
        </w:rPr>
      </w:pPr>
      <w:r w:rsidRPr="00501320">
        <w:rPr>
          <w:rFonts w:cstheme="minorHAnsi"/>
          <w:b/>
        </w:rPr>
        <w:t>Horario: 16:00-20:00</w:t>
      </w:r>
    </w:p>
    <w:p w14:paraId="770CBA9B" w14:textId="77777777" w:rsidR="00AA3016" w:rsidRPr="00501320" w:rsidRDefault="00AA3016" w:rsidP="00A0400E">
      <w:pPr>
        <w:spacing w:after="0"/>
        <w:rPr>
          <w:rFonts w:cstheme="minorHAnsi"/>
          <w:b/>
        </w:rPr>
      </w:pPr>
      <w:r w:rsidRPr="00501320">
        <w:rPr>
          <w:rFonts w:cstheme="minorHAnsi"/>
          <w:b/>
        </w:rPr>
        <w:t>Lugar: aula 44 (cuarta planta) FCEYE</w:t>
      </w:r>
    </w:p>
    <w:p w14:paraId="3E5FC970" w14:textId="77777777" w:rsidR="00A0400E" w:rsidRPr="00501320" w:rsidRDefault="00B631E5" w:rsidP="00166DC0">
      <w:pPr>
        <w:pBdr>
          <w:bottom w:val="single" w:sz="24" w:space="1" w:color="BFBFBF" w:themeColor="background1" w:themeShade="BF"/>
        </w:pBdr>
        <w:spacing w:after="0"/>
        <w:rPr>
          <w:rFonts w:cstheme="minorHAnsi"/>
          <w:b/>
        </w:rPr>
      </w:pPr>
      <w:r w:rsidRPr="00501320">
        <w:rPr>
          <w:rFonts w:cstheme="minorHAnsi"/>
          <w:b/>
        </w:rPr>
        <w:t>Estructura del curso</w:t>
      </w:r>
      <w:r w:rsidR="00066397" w:rsidRPr="00501320">
        <w:rPr>
          <w:rFonts w:cstheme="minorHAnsi"/>
          <w:b/>
        </w:rPr>
        <w:t xml:space="preserve"> (6</w:t>
      </w:r>
      <w:r w:rsidR="005F6DD8" w:rsidRPr="00501320">
        <w:rPr>
          <w:rFonts w:cstheme="minorHAnsi"/>
          <w:b/>
        </w:rPr>
        <w:t>0</w:t>
      </w:r>
      <w:r w:rsidR="00066397" w:rsidRPr="00501320">
        <w:rPr>
          <w:rFonts w:cstheme="minorHAnsi"/>
          <w:b/>
        </w:rPr>
        <w:t xml:space="preserve"> HORAS)</w:t>
      </w:r>
    </w:p>
    <w:p w14:paraId="7BBFB4B6" w14:textId="0A16A8A1" w:rsidR="002A0684" w:rsidRDefault="002A0684">
      <w:pPr>
        <w:rPr>
          <w:rFonts w:cstheme="minorHAnsi"/>
          <w:b/>
        </w:rPr>
      </w:pPr>
    </w:p>
    <w:p w14:paraId="224FD61F" w14:textId="77777777" w:rsidR="00166DC0" w:rsidRPr="00501320" w:rsidRDefault="00166DC0">
      <w:pPr>
        <w:rPr>
          <w:rFonts w:cstheme="minorHAnsi"/>
          <w:b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4"/>
        <w:gridCol w:w="2920"/>
        <w:gridCol w:w="2900"/>
        <w:gridCol w:w="3780"/>
      </w:tblGrid>
      <w:tr w:rsidR="00E708E9" w:rsidRPr="00501320" w14:paraId="1E7F90AB" w14:textId="77777777" w:rsidTr="00781A11">
        <w:tc>
          <w:tcPr>
            <w:tcW w:w="0" w:type="auto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C000" w:themeFill="accent4"/>
          </w:tcPr>
          <w:p w14:paraId="0484A0F5" w14:textId="05537A8B" w:rsidR="00B631E5" w:rsidRPr="00501320" w:rsidRDefault="00066397" w:rsidP="0055691D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Hlk19531841"/>
            <w:r w:rsidRPr="00501320">
              <w:rPr>
                <w:rFonts w:cstheme="minorHAnsi"/>
                <w:b/>
                <w:sz w:val="24"/>
              </w:rPr>
              <w:t>MODULO 1</w:t>
            </w:r>
            <w:r w:rsidR="002A0684" w:rsidRPr="00501320">
              <w:rPr>
                <w:rFonts w:cstheme="minorHAnsi"/>
                <w:b/>
                <w:sz w:val="24"/>
              </w:rPr>
              <w:t xml:space="preserve">: Análisis histórico, fundamentos y marco institucional de la política de competencia </w:t>
            </w:r>
            <w:r w:rsidR="001C7F7A" w:rsidRPr="00501320">
              <w:rPr>
                <w:rFonts w:cstheme="minorHAnsi"/>
                <w:b/>
                <w:sz w:val="24"/>
              </w:rPr>
              <w:t xml:space="preserve">y la mejora de la regulación </w:t>
            </w:r>
            <w:r w:rsidR="002A0684" w:rsidRPr="00501320">
              <w:rPr>
                <w:rFonts w:cstheme="minorHAnsi"/>
                <w:b/>
                <w:sz w:val="24"/>
              </w:rPr>
              <w:t>(1</w:t>
            </w:r>
            <w:r w:rsidR="005F6DD8" w:rsidRPr="00501320">
              <w:rPr>
                <w:rFonts w:cstheme="minorHAnsi"/>
                <w:b/>
                <w:sz w:val="24"/>
              </w:rPr>
              <w:t>6</w:t>
            </w:r>
            <w:r w:rsidR="00E708E9">
              <w:rPr>
                <w:rFonts w:cstheme="minorHAnsi"/>
                <w:b/>
                <w:sz w:val="24"/>
              </w:rPr>
              <w:t xml:space="preserve"> </w:t>
            </w:r>
            <w:r w:rsidR="002A0684" w:rsidRPr="00501320">
              <w:rPr>
                <w:rFonts w:cstheme="minorHAnsi"/>
                <w:b/>
                <w:sz w:val="24"/>
              </w:rPr>
              <w:t>h</w:t>
            </w:r>
            <w:r w:rsidR="00E708E9">
              <w:rPr>
                <w:rFonts w:cstheme="minorHAnsi"/>
                <w:b/>
                <w:sz w:val="24"/>
              </w:rPr>
              <w:t>oras</w:t>
            </w:r>
            <w:r w:rsidRPr="00501320">
              <w:rPr>
                <w:rFonts w:cstheme="minorHAnsi"/>
                <w:b/>
                <w:sz w:val="24"/>
              </w:rPr>
              <w:t>)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00"/>
          </w:tcPr>
          <w:p w14:paraId="6F1F8DC6" w14:textId="77777777" w:rsidR="00B631E5" w:rsidRPr="00501320" w:rsidRDefault="00066397" w:rsidP="0055691D">
            <w:pPr>
              <w:jc w:val="center"/>
              <w:rPr>
                <w:rFonts w:cstheme="minorHAnsi"/>
                <w:b/>
                <w:sz w:val="24"/>
              </w:rPr>
            </w:pPr>
            <w:bookmarkStart w:id="1" w:name="_Hlk19532148"/>
            <w:r w:rsidRPr="00501320">
              <w:rPr>
                <w:rFonts w:cstheme="minorHAnsi"/>
                <w:b/>
                <w:sz w:val="24"/>
              </w:rPr>
              <w:t>MODULO 2</w:t>
            </w:r>
            <w:r w:rsidR="002A0684" w:rsidRPr="00501320">
              <w:rPr>
                <w:rFonts w:cstheme="minorHAnsi"/>
                <w:b/>
                <w:sz w:val="24"/>
              </w:rPr>
              <w:t>: La Política de Defensa de la Competencia (</w:t>
            </w:r>
            <w:r w:rsidR="005F6DD8" w:rsidRPr="00501320">
              <w:rPr>
                <w:rFonts w:cstheme="minorHAnsi"/>
                <w:b/>
                <w:sz w:val="24"/>
              </w:rPr>
              <w:t>18</w:t>
            </w:r>
            <w:r w:rsidR="002A0684" w:rsidRPr="00501320">
              <w:rPr>
                <w:rFonts w:cstheme="minorHAnsi"/>
                <w:b/>
                <w:sz w:val="24"/>
              </w:rPr>
              <w:t>h)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92D050"/>
          </w:tcPr>
          <w:p w14:paraId="288EDCAB" w14:textId="77777777" w:rsidR="00B631E5" w:rsidRPr="00501320" w:rsidRDefault="00066397" w:rsidP="0055691D">
            <w:pPr>
              <w:jc w:val="center"/>
              <w:rPr>
                <w:rFonts w:cstheme="minorHAnsi"/>
                <w:b/>
                <w:sz w:val="24"/>
              </w:rPr>
            </w:pPr>
            <w:r w:rsidRPr="00501320">
              <w:rPr>
                <w:rFonts w:cstheme="minorHAnsi"/>
                <w:b/>
                <w:sz w:val="24"/>
              </w:rPr>
              <w:t>MODULO 3</w:t>
            </w:r>
            <w:r w:rsidR="00C71164" w:rsidRPr="00501320">
              <w:rPr>
                <w:rFonts w:cstheme="minorHAnsi"/>
                <w:b/>
                <w:sz w:val="24"/>
              </w:rPr>
              <w:t xml:space="preserve">: </w:t>
            </w:r>
            <w:bookmarkStart w:id="2" w:name="_Hlk19532411"/>
            <w:r w:rsidR="00C71164" w:rsidRPr="00501320">
              <w:rPr>
                <w:rFonts w:cstheme="minorHAnsi"/>
                <w:b/>
                <w:sz w:val="24"/>
              </w:rPr>
              <w:t>Mejora de la Regulación Económica</w:t>
            </w:r>
            <w:r w:rsidR="00296EAD" w:rsidRPr="00501320">
              <w:rPr>
                <w:rFonts w:cstheme="minorHAnsi"/>
                <w:b/>
                <w:sz w:val="24"/>
              </w:rPr>
              <w:t xml:space="preserve"> </w:t>
            </w:r>
            <w:r w:rsidR="005F6DD8" w:rsidRPr="00501320">
              <w:rPr>
                <w:rFonts w:cstheme="minorHAnsi"/>
                <w:b/>
                <w:sz w:val="24"/>
              </w:rPr>
              <w:t xml:space="preserve">y Unidad de </w:t>
            </w:r>
            <w:r w:rsidR="0058595A" w:rsidRPr="00501320">
              <w:rPr>
                <w:rFonts w:cstheme="minorHAnsi"/>
                <w:b/>
                <w:sz w:val="24"/>
              </w:rPr>
              <w:t>Mercado (</w:t>
            </w:r>
            <w:r w:rsidR="00C71164" w:rsidRPr="00501320">
              <w:rPr>
                <w:rFonts w:cstheme="minorHAnsi"/>
                <w:b/>
                <w:sz w:val="24"/>
              </w:rPr>
              <w:t>1</w:t>
            </w:r>
            <w:r w:rsidR="005F6DD8" w:rsidRPr="00501320">
              <w:rPr>
                <w:rFonts w:cstheme="minorHAnsi"/>
                <w:b/>
                <w:sz w:val="24"/>
              </w:rPr>
              <w:t>4</w:t>
            </w:r>
            <w:r w:rsidR="00296EAD" w:rsidRPr="00501320">
              <w:rPr>
                <w:rFonts w:cstheme="minorHAnsi"/>
                <w:b/>
                <w:sz w:val="24"/>
              </w:rPr>
              <w:t xml:space="preserve"> </w:t>
            </w:r>
            <w:r w:rsidR="00AA3016" w:rsidRPr="00501320">
              <w:rPr>
                <w:rFonts w:cstheme="minorHAnsi"/>
                <w:b/>
                <w:sz w:val="24"/>
              </w:rPr>
              <w:t>h</w:t>
            </w:r>
            <w:r w:rsidR="00296EAD" w:rsidRPr="00501320">
              <w:rPr>
                <w:rFonts w:cstheme="minorHAnsi"/>
                <w:b/>
                <w:sz w:val="24"/>
              </w:rPr>
              <w:t>)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BDD6EE" w:themeFill="accent5" w:themeFillTint="66"/>
          </w:tcPr>
          <w:p w14:paraId="0BB449CA" w14:textId="77777777" w:rsidR="00B631E5" w:rsidRPr="00501320" w:rsidRDefault="00066397" w:rsidP="0055691D">
            <w:pPr>
              <w:jc w:val="center"/>
              <w:rPr>
                <w:rFonts w:cstheme="minorHAnsi"/>
                <w:b/>
                <w:sz w:val="24"/>
              </w:rPr>
            </w:pPr>
            <w:r w:rsidRPr="00501320">
              <w:rPr>
                <w:rFonts w:cstheme="minorHAnsi"/>
                <w:b/>
                <w:sz w:val="24"/>
              </w:rPr>
              <w:t>MODULO 4</w:t>
            </w:r>
            <w:r w:rsidR="00C71164" w:rsidRPr="00501320">
              <w:rPr>
                <w:rFonts w:cstheme="minorHAnsi"/>
                <w:b/>
                <w:sz w:val="24"/>
              </w:rPr>
              <w:t>: Nuevos</w:t>
            </w:r>
            <w:r w:rsidR="001C7F7A" w:rsidRPr="00501320">
              <w:rPr>
                <w:rFonts w:cstheme="minorHAnsi"/>
                <w:b/>
                <w:sz w:val="24"/>
              </w:rPr>
              <w:t xml:space="preserve"> retos</w:t>
            </w:r>
            <w:r w:rsidR="00C71164" w:rsidRPr="00501320">
              <w:rPr>
                <w:rFonts w:cstheme="minorHAnsi"/>
                <w:b/>
                <w:sz w:val="24"/>
              </w:rPr>
              <w:t xml:space="preserve"> para la Política de Competencia y la Mejora de la Regulación</w:t>
            </w:r>
            <w:r w:rsidR="00296EAD" w:rsidRPr="00501320">
              <w:rPr>
                <w:rFonts w:cstheme="minorHAnsi"/>
                <w:b/>
                <w:sz w:val="24"/>
              </w:rPr>
              <w:t xml:space="preserve"> (12</w:t>
            </w:r>
            <w:r w:rsidR="00AA3016" w:rsidRPr="00501320">
              <w:rPr>
                <w:rFonts w:cstheme="minorHAnsi"/>
                <w:b/>
                <w:sz w:val="24"/>
              </w:rPr>
              <w:t>h</w:t>
            </w:r>
            <w:r w:rsidR="00296EAD" w:rsidRPr="00501320">
              <w:rPr>
                <w:rFonts w:cstheme="minorHAnsi"/>
                <w:b/>
                <w:sz w:val="24"/>
              </w:rPr>
              <w:t>)</w:t>
            </w:r>
          </w:p>
        </w:tc>
      </w:tr>
      <w:tr w:rsidR="00E708E9" w:rsidRPr="00501320" w14:paraId="36BC1ACC" w14:textId="77777777" w:rsidTr="00781A11">
        <w:tc>
          <w:tcPr>
            <w:tcW w:w="0" w:type="auto"/>
            <w:tcBorders>
              <w:top w:val="single" w:sz="24" w:space="0" w:color="A6A6A6" w:themeColor="background1" w:themeShade="A6"/>
            </w:tcBorders>
            <w:shd w:val="clear" w:color="auto" w:fill="FFC000" w:themeFill="accent4"/>
            <w:vAlign w:val="center"/>
          </w:tcPr>
          <w:p w14:paraId="1EDDB223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 xml:space="preserve">Presentación. </w:t>
            </w:r>
            <w:bookmarkStart w:id="3" w:name="_Hlk19531975"/>
            <w:r w:rsidRPr="00501320">
              <w:rPr>
                <w:rFonts w:cstheme="minorHAnsi"/>
                <w:sz w:val="20"/>
                <w:szCs w:val="17"/>
              </w:rPr>
              <w:t>Fundamentos Económicos de la Política de Competencia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3A079D2A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Fundamentos Jurídicos de la Política de Competencia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512533CA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 xml:space="preserve">Análisis Histórico de la Política de Competencia. </w:t>
            </w:r>
          </w:p>
          <w:p w14:paraId="1B40BCED" w14:textId="77777777" w:rsidR="00AA3016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color w:val="666666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 xml:space="preserve">Análisis histórico de la emergencia del paradigma de la </w:t>
            </w:r>
            <w:proofErr w:type="spellStart"/>
            <w:r w:rsidRPr="00501320">
              <w:rPr>
                <w:rFonts w:cstheme="minorHAnsi"/>
                <w:i/>
                <w:sz w:val="20"/>
                <w:szCs w:val="17"/>
              </w:rPr>
              <w:t>better</w:t>
            </w:r>
            <w:proofErr w:type="spellEnd"/>
            <w:r w:rsidRPr="00501320">
              <w:rPr>
                <w:rFonts w:cstheme="minorHAnsi"/>
                <w:i/>
                <w:sz w:val="20"/>
                <w:szCs w:val="17"/>
              </w:rPr>
              <w:t xml:space="preserve"> and </w:t>
            </w:r>
            <w:proofErr w:type="spellStart"/>
            <w:r w:rsidRPr="00501320">
              <w:rPr>
                <w:rFonts w:cstheme="minorHAnsi"/>
                <w:i/>
                <w:sz w:val="20"/>
                <w:szCs w:val="17"/>
              </w:rPr>
              <w:t>smart</w:t>
            </w:r>
            <w:proofErr w:type="spellEnd"/>
            <w:r w:rsidRPr="00501320">
              <w:rPr>
                <w:rFonts w:cstheme="minorHAnsi"/>
                <w:i/>
                <w:sz w:val="20"/>
                <w:szCs w:val="17"/>
              </w:rPr>
              <w:t xml:space="preserve"> </w:t>
            </w:r>
            <w:proofErr w:type="spellStart"/>
            <w:r w:rsidRPr="00501320">
              <w:rPr>
                <w:rFonts w:cstheme="minorHAnsi"/>
                <w:i/>
                <w:sz w:val="20"/>
                <w:szCs w:val="17"/>
              </w:rPr>
              <w:t>regulatio</w:t>
            </w:r>
            <w:r w:rsidR="00AA3016" w:rsidRPr="00501320">
              <w:rPr>
                <w:rFonts w:cstheme="minorHAnsi"/>
                <w:i/>
                <w:sz w:val="20"/>
                <w:szCs w:val="17"/>
              </w:rPr>
              <w:t>n</w:t>
            </w:r>
            <w:proofErr w:type="spellEnd"/>
            <w:r w:rsidR="00AA3016" w:rsidRPr="00501320">
              <w:rPr>
                <w:rFonts w:cstheme="minorHAnsi"/>
                <w:i/>
                <w:sz w:val="20"/>
                <w:szCs w:val="17"/>
              </w:rPr>
              <w:t>.</w:t>
            </w:r>
          </w:p>
          <w:p w14:paraId="1D9CA332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color w:val="666666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Marco institucional de la política de competencia</w:t>
            </w:r>
            <w:bookmarkEnd w:id="3"/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24" w:space="0" w:color="A6A6A6" w:themeColor="background1" w:themeShade="A6"/>
            </w:tcBorders>
            <w:shd w:val="clear" w:color="auto" w:fill="FFFF00"/>
            <w:vAlign w:val="center"/>
          </w:tcPr>
          <w:p w14:paraId="1D2D7980" w14:textId="77777777" w:rsidR="00AA3016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bookmarkStart w:id="4" w:name="_Hlk19532212"/>
            <w:r w:rsidRPr="00501320">
              <w:rPr>
                <w:rFonts w:cstheme="minorHAnsi"/>
                <w:sz w:val="20"/>
                <w:szCs w:val="17"/>
              </w:rPr>
              <w:t xml:space="preserve">Conductas colusorias/cárteles </w:t>
            </w:r>
          </w:p>
          <w:p w14:paraId="749AF026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Abuso de Posición de Dominio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76FBDB09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El proceso de la política de defensa de la competencia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370EE494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Las autoridades de competencia y sus funciones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5163C26E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Control de concentraciones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7B26C66E" w14:textId="4382701C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Ayudas de estado</w:t>
            </w:r>
            <w:bookmarkEnd w:id="4"/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24" w:space="0" w:color="A6A6A6" w:themeColor="background1" w:themeShade="A6"/>
            </w:tcBorders>
            <w:shd w:val="clear" w:color="auto" w:fill="92D050"/>
            <w:vAlign w:val="center"/>
          </w:tcPr>
          <w:p w14:paraId="19976D50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bookmarkStart w:id="5" w:name="_Hlk19543726"/>
            <w:r w:rsidRPr="00501320">
              <w:rPr>
                <w:rFonts w:cstheme="minorHAnsi"/>
                <w:sz w:val="20"/>
                <w:szCs w:val="17"/>
              </w:rPr>
              <w:t>Los principios de la buena regulación. Paradigmas y su difusión.</w:t>
            </w:r>
          </w:p>
          <w:p w14:paraId="61495992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Informes de proyectos normativos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55FE2921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Informes de Garantía de Unidad de Mercado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127CB0D5" w14:textId="77777777" w:rsidR="00312E07" w:rsidRPr="00501320" w:rsidRDefault="00312E07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Estudio de casos: VTC y viviendas turísticas</w:t>
            </w:r>
            <w:bookmarkEnd w:id="5"/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2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549886B0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bookmarkStart w:id="6" w:name="_Hlk19543822"/>
            <w:r w:rsidRPr="00501320">
              <w:rPr>
                <w:rFonts w:cstheme="minorHAnsi"/>
                <w:sz w:val="20"/>
                <w:szCs w:val="17"/>
              </w:rPr>
              <w:t>Directiva ECN+ y su transposición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7A73E753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La internacionalización de la Política de Competencia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4B7E4FBE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La Contratación Pública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47C5F7C7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Economía digital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10BF5946" w14:textId="77777777" w:rsidR="00312E07" w:rsidRPr="00501320" w:rsidRDefault="00312E07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Nuevas herramientas: los estudios de replicabilidad económica</w:t>
            </w:r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  <w:p w14:paraId="17D08CF4" w14:textId="77777777" w:rsidR="00FE44C2" w:rsidRPr="00501320" w:rsidRDefault="00FE44C2" w:rsidP="00E708E9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501320">
              <w:rPr>
                <w:rFonts w:cstheme="minorHAnsi"/>
                <w:sz w:val="20"/>
                <w:szCs w:val="17"/>
              </w:rPr>
              <w:t>Aplicación privada de la Política de Competencia</w:t>
            </w:r>
            <w:bookmarkEnd w:id="6"/>
            <w:r w:rsidR="00AA3016" w:rsidRPr="00501320">
              <w:rPr>
                <w:rFonts w:cstheme="minorHAnsi"/>
                <w:sz w:val="20"/>
                <w:szCs w:val="17"/>
              </w:rPr>
              <w:t>.</w:t>
            </w:r>
          </w:p>
        </w:tc>
      </w:tr>
    </w:tbl>
    <w:p w14:paraId="695CD9C0" w14:textId="77777777" w:rsidR="00B631E5" w:rsidRPr="00501320" w:rsidRDefault="00B631E5" w:rsidP="0055691D">
      <w:pPr>
        <w:rPr>
          <w:rFonts w:cstheme="minorHAnsi"/>
        </w:rPr>
      </w:pPr>
    </w:p>
    <w:p w14:paraId="2A1A8C31" w14:textId="1A1CDD2A" w:rsidR="001C7F7A" w:rsidRPr="00501320" w:rsidRDefault="002A0684">
      <w:pPr>
        <w:rPr>
          <w:rFonts w:cstheme="minorHAnsi"/>
        </w:rPr>
      </w:pPr>
      <w:r w:rsidRPr="00501320">
        <w:rPr>
          <w:rFonts w:cstheme="minorHAnsi"/>
        </w:rPr>
        <w:br w:type="page"/>
      </w:r>
      <w:r w:rsidR="004C1630" w:rsidRPr="00501320">
        <w:rPr>
          <w:rFonts w:cstheme="minorHAnsi"/>
          <w:b/>
        </w:rPr>
        <w:lastRenderedPageBreak/>
        <w:t xml:space="preserve">Calendario/programación </w:t>
      </w:r>
      <w:r w:rsidR="00166DC0">
        <w:rPr>
          <w:rFonts w:cstheme="minorHAnsi"/>
          <w:b/>
        </w:rPr>
        <w:t>de contenidos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CC7BB1" w:rsidRPr="00501320" w14:paraId="70EF1C53" w14:textId="77777777" w:rsidTr="004E3F3E">
        <w:trPr>
          <w:jc w:val="center"/>
        </w:trPr>
        <w:tc>
          <w:tcPr>
            <w:tcW w:w="3539" w:type="dxa"/>
            <w:shd w:val="clear" w:color="auto" w:fill="000000" w:themeFill="text1"/>
          </w:tcPr>
          <w:p w14:paraId="57810DCA" w14:textId="77777777" w:rsidR="00A0400E" w:rsidRPr="00501320" w:rsidRDefault="00A0400E" w:rsidP="0083459E">
            <w:pPr>
              <w:jc w:val="center"/>
              <w:rPr>
                <w:rFonts w:cstheme="minorHAnsi"/>
                <w:b/>
              </w:rPr>
            </w:pPr>
            <w:r w:rsidRPr="00501320">
              <w:rPr>
                <w:rFonts w:cstheme="minorHAnsi"/>
                <w:b/>
              </w:rPr>
              <w:t>LUNES</w:t>
            </w:r>
          </w:p>
        </w:tc>
        <w:tc>
          <w:tcPr>
            <w:tcW w:w="3544" w:type="dxa"/>
            <w:shd w:val="clear" w:color="auto" w:fill="000000" w:themeFill="text1"/>
          </w:tcPr>
          <w:p w14:paraId="0CFADDFF" w14:textId="77777777" w:rsidR="00A0400E" w:rsidRPr="00501320" w:rsidRDefault="00A0400E" w:rsidP="0083459E">
            <w:pPr>
              <w:jc w:val="center"/>
              <w:rPr>
                <w:rFonts w:cstheme="minorHAnsi"/>
                <w:b/>
              </w:rPr>
            </w:pPr>
            <w:r w:rsidRPr="00501320">
              <w:rPr>
                <w:rFonts w:cstheme="minorHAnsi"/>
                <w:b/>
              </w:rPr>
              <w:t>MARTES</w:t>
            </w:r>
          </w:p>
        </w:tc>
        <w:tc>
          <w:tcPr>
            <w:tcW w:w="3402" w:type="dxa"/>
            <w:shd w:val="clear" w:color="auto" w:fill="000000" w:themeFill="text1"/>
          </w:tcPr>
          <w:p w14:paraId="0F232A6D" w14:textId="77777777" w:rsidR="00A0400E" w:rsidRPr="00501320" w:rsidRDefault="00A0400E" w:rsidP="0083459E">
            <w:pPr>
              <w:jc w:val="center"/>
              <w:rPr>
                <w:rFonts w:cstheme="minorHAnsi"/>
                <w:b/>
              </w:rPr>
            </w:pPr>
            <w:r w:rsidRPr="00501320">
              <w:rPr>
                <w:rFonts w:cstheme="minorHAnsi"/>
                <w:b/>
              </w:rPr>
              <w:t xml:space="preserve">MIERCOLES </w:t>
            </w:r>
          </w:p>
        </w:tc>
        <w:tc>
          <w:tcPr>
            <w:tcW w:w="3509" w:type="dxa"/>
            <w:shd w:val="clear" w:color="auto" w:fill="000000" w:themeFill="text1"/>
          </w:tcPr>
          <w:p w14:paraId="531F4035" w14:textId="77777777" w:rsidR="00A0400E" w:rsidRPr="00501320" w:rsidRDefault="00A0400E" w:rsidP="0083459E">
            <w:pPr>
              <w:jc w:val="center"/>
              <w:rPr>
                <w:rFonts w:cstheme="minorHAnsi"/>
                <w:b/>
              </w:rPr>
            </w:pPr>
            <w:r w:rsidRPr="00501320">
              <w:rPr>
                <w:rFonts w:cstheme="minorHAnsi"/>
                <w:b/>
              </w:rPr>
              <w:t>JUEVES</w:t>
            </w:r>
          </w:p>
        </w:tc>
      </w:tr>
      <w:tr w:rsidR="005074E9" w:rsidRPr="00501320" w14:paraId="0E659DA2" w14:textId="77777777" w:rsidTr="004E3F3E">
        <w:trPr>
          <w:jc w:val="center"/>
        </w:trPr>
        <w:tc>
          <w:tcPr>
            <w:tcW w:w="3539" w:type="dxa"/>
            <w:shd w:val="clear" w:color="auto" w:fill="000000" w:themeFill="text1"/>
          </w:tcPr>
          <w:p w14:paraId="32178106" w14:textId="77777777" w:rsidR="005074E9" w:rsidRPr="00501320" w:rsidRDefault="005074E9" w:rsidP="0083459E">
            <w:pPr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14:paraId="4ABD89FD" w14:textId="546901F1" w:rsidR="005074E9" w:rsidRPr="00501320" w:rsidRDefault="005074E9" w:rsidP="007D6D5F">
            <w:pPr>
              <w:jc w:val="right"/>
              <w:rPr>
                <w:rFonts w:cstheme="minorHAnsi"/>
                <w:b/>
              </w:rPr>
            </w:pPr>
            <w:r w:rsidRPr="00501320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64639257" w14:textId="0B78B4ED" w:rsidR="005074E9" w:rsidRPr="00501320" w:rsidRDefault="005074E9" w:rsidP="00D31CDD">
            <w:pPr>
              <w:jc w:val="right"/>
              <w:rPr>
                <w:rFonts w:cstheme="minorHAnsi"/>
                <w:b/>
              </w:rPr>
            </w:pPr>
            <w:r w:rsidRPr="00501320">
              <w:rPr>
                <w:rFonts w:cstheme="minorHAnsi"/>
                <w:b/>
              </w:rPr>
              <w:t>2</w:t>
            </w:r>
          </w:p>
        </w:tc>
        <w:tc>
          <w:tcPr>
            <w:tcW w:w="3509" w:type="dxa"/>
            <w:shd w:val="clear" w:color="auto" w:fill="000000" w:themeFill="text1"/>
          </w:tcPr>
          <w:p w14:paraId="5AF1EEDE" w14:textId="3222659A" w:rsidR="005074E9" w:rsidRPr="00501320" w:rsidRDefault="005074E9" w:rsidP="0083459E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3</w:t>
            </w:r>
          </w:p>
        </w:tc>
      </w:tr>
      <w:tr w:rsidR="007D6D5F" w:rsidRPr="00501320" w14:paraId="624FCFAB" w14:textId="77777777" w:rsidTr="00F650DD">
        <w:trPr>
          <w:trHeight w:val="1678"/>
          <w:jc w:val="center"/>
        </w:trPr>
        <w:tc>
          <w:tcPr>
            <w:tcW w:w="3539" w:type="dxa"/>
            <w:vAlign w:val="center"/>
          </w:tcPr>
          <w:p w14:paraId="0C989719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44" w:type="dxa"/>
            <w:shd w:val="clear" w:color="auto" w:fill="FFC000"/>
          </w:tcPr>
          <w:p w14:paraId="7C610DDB" w14:textId="77777777" w:rsidR="007D6D5F" w:rsidRPr="00AC02F8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AC02F8">
              <w:rPr>
                <w:rFonts w:cstheme="minorHAnsi"/>
                <w:sz w:val="20"/>
                <w:szCs w:val="17"/>
              </w:rPr>
              <w:t>Presentación. Fundamentos Económicos de la Política de Competencia</w:t>
            </w:r>
            <w:r>
              <w:rPr>
                <w:rFonts w:cstheme="minorHAnsi"/>
                <w:sz w:val="20"/>
                <w:szCs w:val="17"/>
              </w:rPr>
              <w:t xml:space="preserve">. 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>Luis Palma (2h)</w:t>
            </w:r>
          </w:p>
          <w:p w14:paraId="325D904F" w14:textId="77777777" w:rsidR="007D6D5F" w:rsidRPr="00AC02F8" w:rsidRDefault="007D6D5F" w:rsidP="007D6D5F">
            <w:pPr>
              <w:pStyle w:val="Prrafodelista"/>
              <w:spacing w:before="150" w:after="150"/>
              <w:ind w:left="176"/>
              <w:rPr>
                <w:rFonts w:cstheme="minorHAnsi"/>
                <w:sz w:val="20"/>
                <w:szCs w:val="17"/>
              </w:rPr>
            </w:pPr>
          </w:p>
          <w:p w14:paraId="4A75E304" w14:textId="77777777" w:rsidR="007D6D5F" w:rsidRPr="00AC02F8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AC02F8">
              <w:rPr>
                <w:rFonts w:cstheme="minorHAnsi"/>
                <w:sz w:val="20"/>
                <w:szCs w:val="17"/>
              </w:rPr>
              <w:t>Fundamentos Jurídicos de la Política de Competencia</w:t>
            </w:r>
            <w:r>
              <w:rPr>
                <w:rFonts w:cstheme="minorHAnsi"/>
                <w:sz w:val="20"/>
                <w:szCs w:val="17"/>
              </w:rPr>
              <w:t>.</w:t>
            </w:r>
            <w:r w:rsidRPr="00AC02F8">
              <w:rPr>
                <w:rFonts w:cstheme="minorHAnsi"/>
                <w:sz w:val="20"/>
                <w:szCs w:val="17"/>
              </w:rPr>
              <w:t xml:space="preserve"> </w:t>
            </w:r>
            <w:proofErr w:type="spellStart"/>
            <w:r w:rsidRPr="00AC02F8">
              <w:rPr>
                <w:rFonts w:cstheme="minorHAnsi"/>
                <w:b/>
                <w:bCs/>
                <w:sz w:val="20"/>
                <w:szCs w:val="17"/>
              </w:rPr>
              <w:t>Mª</w:t>
            </w:r>
            <w:proofErr w:type="spellEnd"/>
            <w:r w:rsidRPr="00AC02F8">
              <w:rPr>
                <w:rFonts w:cstheme="minorHAnsi"/>
                <w:b/>
                <w:bCs/>
                <w:sz w:val="20"/>
                <w:szCs w:val="17"/>
              </w:rPr>
              <w:t xml:space="preserve"> Cruz Arcos </w:t>
            </w:r>
            <w:r>
              <w:rPr>
                <w:rFonts w:cstheme="minorHAnsi"/>
                <w:b/>
                <w:bCs/>
                <w:sz w:val="20"/>
                <w:szCs w:val="17"/>
              </w:rPr>
              <w:t>(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>2h</w:t>
            </w:r>
            <w:r w:rsidRPr="003A690A">
              <w:rPr>
                <w:rFonts w:cstheme="minorHAnsi"/>
                <w:b/>
                <w:bCs/>
                <w:sz w:val="20"/>
                <w:szCs w:val="17"/>
              </w:rPr>
              <w:t>)</w:t>
            </w:r>
          </w:p>
          <w:p w14:paraId="54E944CA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shd w:val="clear" w:color="auto" w:fill="FFC000"/>
            <w:vAlign w:val="center"/>
          </w:tcPr>
          <w:p w14:paraId="1400E7C1" w14:textId="33870FCA" w:rsidR="007D6D5F" w:rsidRPr="00AC02F8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AC02F8">
              <w:rPr>
                <w:rFonts w:cstheme="minorHAnsi"/>
                <w:sz w:val="20"/>
                <w:szCs w:val="17"/>
              </w:rPr>
              <w:t xml:space="preserve">Análisis Histórico de la Política de Competencia. </w:t>
            </w:r>
            <w:r w:rsidRPr="008E4761">
              <w:rPr>
                <w:rFonts w:cstheme="minorHAnsi"/>
                <w:b/>
                <w:bCs/>
                <w:sz w:val="20"/>
                <w:szCs w:val="17"/>
              </w:rPr>
              <w:t xml:space="preserve">Amadeo </w:t>
            </w:r>
            <w:proofErr w:type="spellStart"/>
            <w:r w:rsidRPr="008E4761">
              <w:rPr>
                <w:rFonts w:cstheme="minorHAnsi"/>
                <w:b/>
                <w:bCs/>
                <w:sz w:val="20"/>
                <w:szCs w:val="17"/>
              </w:rPr>
              <w:t>Petitbò</w:t>
            </w:r>
            <w:proofErr w:type="spellEnd"/>
            <w:r w:rsidRPr="008E4761">
              <w:rPr>
                <w:rFonts w:cstheme="minorHAnsi"/>
                <w:b/>
                <w:bCs/>
                <w:sz w:val="20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17"/>
              </w:rPr>
              <w:t>(</w:t>
            </w:r>
            <w:r w:rsidRPr="008E4761">
              <w:rPr>
                <w:rFonts w:cstheme="minorHAnsi"/>
                <w:b/>
                <w:bCs/>
                <w:sz w:val="20"/>
                <w:szCs w:val="17"/>
              </w:rPr>
              <w:t>4h)</w:t>
            </w:r>
          </w:p>
        </w:tc>
        <w:tc>
          <w:tcPr>
            <w:tcW w:w="3509" w:type="dxa"/>
            <w:vAlign w:val="center"/>
          </w:tcPr>
          <w:p w14:paraId="01C79FF3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D6D5F" w:rsidRPr="00501320" w14:paraId="41CEDF33" w14:textId="77777777" w:rsidTr="00166DC0">
        <w:trPr>
          <w:jc w:val="center"/>
        </w:trPr>
        <w:tc>
          <w:tcPr>
            <w:tcW w:w="3539" w:type="dxa"/>
            <w:shd w:val="clear" w:color="auto" w:fill="000000" w:themeFill="text1"/>
            <w:vAlign w:val="center"/>
          </w:tcPr>
          <w:p w14:paraId="111F3006" w14:textId="1BA987A6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74820AED" w14:textId="7DF93143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3BEA2181" w14:textId="5BE3CA4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9</w:t>
            </w:r>
          </w:p>
        </w:tc>
        <w:tc>
          <w:tcPr>
            <w:tcW w:w="3509" w:type="dxa"/>
            <w:shd w:val="clear" w:color="auto" w:fill="000000" w:themeFill="text1"/>
            <w:vAlign w:val="center"/>
          </w:tcPr>
          <w:p w14:paraId="20143200" w14:textId="4CD3F835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10</w:t>
            </w:r>
          </w:p>
        </w:tc>
      </w:tr>
      <w:tr w:rsidR="007D6D5F" w:rsidRPr="00501320" w14:paraId="25DC3093" w14:textId="77777777" w:rsidTr="00AC02F8">
        <w:trPr>
          <w:trHeight w:val="803"/>
          <w:jc w:val="center"/>
        </w:trPr>
        <w:tc>
          <w:tcPr>
            <w:tcW w:w="3539" w:type="dxa"/>
            <w:vMerge w:val="restart"/>
            <w:shd w:val="clear" w:color="auto" w:fill="FFC000"/>
            <w:vAlign w:val="center"/>
          </w:tcPr>
          <w:p w14:paraId="468539FA" w14:textId="77777777" w:rsidR="007D6D5F" w:rsidRPr="007D6D5F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</w:rPr>
            </w:pPr>
            <w:r w:rsidRPr="00AC02F8">
              <w:rPr>
                <w:rFonts w:cstheme="minorHAnsi"/>
                <w:sz w:val="20"/>
                <w:szCs w:val="17"/>
              </w:rPr>
              <w:t xml:space="preserve">Análisis histórico de la emergencia del paradigma de la </w:t>
            </w:r>
            <w:proofErr w:type="spellStart"/>
            <w:r w:rsidRPr="00AC02F8">
              <w:rPr>
                <w:rFonts w:cstheme="minorHAnsi"/>
                <w:i/>
                <w:iCs/>
                <w:sz w:val="20"/>
                <w:szCs w:val="17"/>
              </w:rPr>
              <w:t>better</w:t>
            </w:r>
            <w:proofErr w:type="spellEnd"/>
            <w:r w:rsidRPr="00AC02F8">
              <w:rPr>
                <w:rFonts w:cstheme="minorHAnsi"/>
                <w:i/>
                <w:iCs/>
                <w:sz w:val="20"/>
                <w:szCs w:val="17"/>
              </w:rPr>
              <w:t xml:space="preserve"> and </w:t>
            </w:r>
            <w:proofErr w:type="spellStart"/>
            <w:r w:rsidRPr="00AC02F8">
              <w:rPr>
                <w:rFonts w:cstheme="minorHAnsi"/>
                <w:i/>
                <w:iCs/>
                <w:sz w:val="20"/>
                <w:szCs w:val="17"/>
              </w:rPr>
              <w:t>smart</w:t>
            </w:r>
            <w:proofErr w:type="spellEnd"/>
            <w:r w:rsidRPr="00AC02F8">
              <w:rPr>
                <w:rFonts w:cstheme="minorHAnsi"/>
                <w:i/>
                <w:iCs/>
                <w:sz w:val="20"/>
                <w:szCs w:val="17"/>
              </w:rPr>
              <w:t xml:space="preserve"> </w:t>
            </w:r>
            <w:proofErr w:type="spellStart"/>
            <w:r w:rsidRPr="00AC02F8">
              <w:rPr>
                <w:rFonts w:cstheme="minorHAnsi"/>
                <w:i/>
                <w:iCs/>
                <w:sz w:val="20"/>
                <w:szCs w:val="17"/>
              </w:rPr>
              <w:t>regulation</w:t>
            </w:r>
            <w:proofErr w:type="spellEnd"/>
            <w:r w:rsidRPr="00AC02F8">
              <w:rPr>
                <w:rFonts w:cstheme="minorHAnsi"/>
                <w:i/>
                <w:iCs/>
                <w:sz w:val="20"/>
                <w:szCs w:val="17"/>
              </w:rPr>
              <w:t xml:space="preserve">. 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 xml:space="preserve">José Luis García </w:t>
            </w:r>
            <w:r>
              <w:rPr>
                <w:rFonts w:cstheme="minorHAnsi"/>
                <w:b/>
                <w:bCs/>
                <w:sz w:val="20"/>
                <w:szCs w:val="17"/>
              </w:rPr>
              <w:t>(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>2h)</w:t>
            </w:r>
          </w:p>
          <w:p w14:paraId="3338AA5F" w14:textId="77777777" w:rsidR="007D6D5F" w:rsidRPr="007D6D5F" w:rsidRDefault="007D6D5F" w:rsidP="007D6D5F">
            <w:pPr>
              <w:pStyle w:val="Prrafodelista"/>
              <w:spacing w:before="150" w:after="150"/>
              <w:ind w:left="176"/>
              <w:rPr>
                <w:rFonts w:cstheme="minorHAnsi"/>
                <w:sz w:val="20"/>
              </w:rPr>
            </w:pPr>
          </w:p>
          <w:p w14:paraId="3FA2D30D" w14:textId="000DF9E6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</w:rPr>
            </w:pPr>
            <w:r w:rsidRPr="00AC02F8">
              <w:rPr>
                <w:rFonts w:cstheme="minorHAnsi"/>
                <w:sz w:val="20"/>
                <w:szCs w:val="17"/>
              </w:rPr>
              <w:t>Marco institucional de la política de competencia en la Unión Europea: Dirección General de Competencia</w:t>
            </w:r>
            <w:r>
              <w:rPr>
                <w:rFonts w:cstheme="minorHAnsi"/>
                <w:sz w:val="20"/>
                <w:szCs w:val="17"/>
              </w:rPr>
              <w:t xml:space="preserve">. 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>Tatiana López (2h)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38417153" w14:textId="03E2BE82" w:rsidR="007D6D5F" w:rsidRPr="00AC02F8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AC02F8">
              <w:rPr>
                <w:rFonts w:cstheme="minorHAnsi"/>
                <w:sz w:val="20"/>
                <w:szCs w:val="17"/>
              </w:rPr>
              <w:t>El procedimiento administrativo de la política de defensa de la competencia</w:t>
            </w:r>
            <w:r>
              <w:rPr>
                <w:rFonts w:cstheme="minorHAnsi"/>
                <w:sz w:val="20"/>
                <w:szCs w:val="17"/>
              </w:rPr>
              <w:t xml:space="preserve">. 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>Alfonso López-Escobar (2h)</w:t>
            </w:r>
          </w:p>
        </w:tc>
        <w:tc>
          <w:tcPr>
            <w:tcW w:w="3402" w:type="dxa"/>
            <w:vMerge w:val="restart"/>
            <w:shd w:val="clear" w:color="auto" w:fill="FFC000"/>
            <w:vAlign w:val="center"/>
          </w:tcPr>
          <w:p w14:paraId="41A55DA9" w14:textId="4D88961C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</w:rPr>
            </w:pPr>
            <w:r w:rsidRPr="00AC02F8">
              <w:rPr>
                <w:rFonts w:cstheme="minorHAnsi"/>
                <w:sz w:val="20"/>
                <w:szCs w:val="17"/>
              </w:rPr>
              <w:t>Marco institucional de la política de competencia en el ámbito nacional y regional: Comisión Nacional de los Mercados y la Competencia (CNMC) y Agencia Andaluza de Defensa de la Competencia (ADCA)</w:t>
            </w:r>
            <w:r>
              <w:rPr>
                <w:rFonts w:cstheme="minorHAnsi"/>
                <w:sz w:val="20"/>
                <w:szCs w:val="17"/>
              </w:rPr>
              <w:t>.</w:t>
            </w:r>
            <w:r w:rsidRPr="00AC02F8">
              <w:rPr>
                <w:rFonts w:cstheme="minorHAnsi"/>
                <w:sz w:val="20"/>
                <w:szCs w:val="17"/>
              </w:rPr>
              <w:t xml:space="preserve"> </w:t>
            </w:r>
            <w:proofErr w:type="spellStart"/>
            <w:r w:rsidRPr="008E4761">
              <w:rPr>
                <w:rFonts w:cstheme="minorHAnsi"/>
                <w:b/>
                <w:bCs/>
                <w:sz w:val="20"/>
                <w:szCs w:val="17"/>
              </w:rPr>
              <w:t>Mª</w:t>
            </w:r>
            <w:proofErr w:type="spellEnd"/>
            <w:r w:rsidRPr="008E4761">
              <w:rPr>
                <w:rFonts w:cstheme="minorHAnsi"/>
                <w:b/>
                <w:bCs/>
                <w:sz w:val="20"/>
                <w:szCs w:val="17"/>
              </w:rPr>
              <w:t xml:space="preserve"> Pilar Canedo </w:t>
            </w:r>
            <w:r>
              <w:rPr>
                <w:rFonts w:cstheme="minorHAnsi"/>
                <w:b/>
                <w:bCs/>
                <w:sz w:val="20"/>
                <w:szCs w:val="17"/>
              </w:rPr>
              <w:t>(</w:t>
            </w:r>
            <w:r w:rsidRPr="008E4761">
              <w:rPr>
                <w:rFonts w:cstheme="minorHAnsi"/>
                <w:b/>
                <w:bCs/>
                <w:sz w:val="20"/>
                <w:szCs w:val="17"/>
              </w:rPr>
              <w:t>2h</w:t>
            </w:r>
            <w:r>
              <w:rPr>
                <w:rFonts w:cstheme="minorHAnsi"/>
                <w:b/>
                <w:bCs/>
                <w:sz w:val="20"/>
                <w:szCs w:val="17"/>
              </w:rPr>
              <w:t>)/</w:t>
            </w:r>
            <w:r w:rsidRPr="008E4761">
              <w:rPr>
                <w:rFonts w:cstheme="minorHAnsi"/>
                <w:b/>
                <w:bCs/>
                <w:sz w:val="20"/>
                <w:szCs w:val="17"/>
              </w:rPr>
              <w:t xml:space="preserve"> José Luis Alcaraz </w:t>
            </w:r>
            <w:r>
              <w:rPr>
                <w:rFonts w:cstheme="minorHAnsi"/>
                <w:b/>
                <w:bCs/>
                <w:sz w:val="20"/>
                <w:szCs w:val="17"/>
              </w:rPr>
              <w:t>(</w:t>
            </w:r>
            <w:r w:rsidRPr="008E4761">
              <w:rPr>
                <w:rFonts w:cstheme="minorHAnsi"/>
                <w:b/>
                <w:bCs/>
                <w:sz w:val="20"/>
                <w:szCs w:val="17"/>
              </w:rPr>
              <w:t>2h)</w:t>
            </w:r>
          </w:p>
        </w:tc>
        <w:tc>
          <w:tcPr>
            <w:tcW w:w="3509" w:type="dxa"/>
            <w:vMerge w:val="restart"/>
            <w:shd w:val="clear" w:color="auto" w:fill="FFFF00"/>
            <w:vAlign w:val="center"/>
          </w:tcPr>
          <w:p w14:paraId="0006F471" w14:textId="47280DCB" w:rsidR="007D6D5F" w:rsidRPr="00537B77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b/>
                <w:bCs/>
                <w:sz w:val="20"/>
              </w:rPr>
            </w:pPr>
            <w:r w:rsidRPr="00537B77">
              <w:rPr>
                <w:rFonts w:cstheme="minorHAnsi"/>
                <w:sz w:val="20"/>
              </w:rPr>
              <w:t>Conductas colusorias/cárteles.</w:t>
            </w:r>
            <w:r>
              <w:rPr>
                <w:rFonts w:cstheme="minorHAnsi"/>
                <w:sz w:val="20"/>
              </w:rPr>
              <w:t xml:space="preserve"> </w:t>
            </w:r>
            <w:r w:rsidRPr="00537B77">
              <w:rPr>
                <w:rFonts w:cstheme="minorHAnsi"/>
                <w:b/>
                <w:bCs/>
                <w:sz w:val="20"/>
                <w:szCs w:val="17"/>
              </w:rPr>
              <w:t>José Manuel Ordóñez (4h)</w:t>
            </w:r>
          </w:p>
        </w:tc>
      </w:tr>
      <w:tr w:rsidR="007D6D5F" w:rsidRPr="00501320" w14:paraId="600CD54D" w14:textId="77777777" w:rsidTr="00AC02F8">
        <w:trPr>
          <w:trHeight w:val="802"/>
          <w:jc w:val="center"/>
        </w:trPr>
        <w:tc>
          <w:tcPr>
            <w:tcW w:w="3539" w:type="dxa"/>
            <w:vMerge/>
            <w:shd w:val="clear" w:color="auto" w:fill="FFC000"/>
            <w:vAlign w:val="center"/>
          </w:tcPr>
          <w:p w14:paraId="0B40409D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44" w:type="dxa"/>
            <w:shd w:val="clear" w:color="auto" w:fill="92D050"/>
            <w:vAlign w:val="center"/>
          </w:tcPr>
          <w:p w14:paraId="3AFB738B" w14:textId="7FA9791D" w:rsidR="007D6D5F" w:rsidRPr="00AC02F8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AC02F8">
              <w:rPr>
                <w:rFonts w:cstheme="minorHAnsi"/>
                <w:sz w:val="20"/>
                <w:szCs w:val="17"/>
              </w:rPr>
              <w:t>Informes de Garantía de Unidad de Mercado</w:t>
            </w:r>
            <w:r>
              <w:rPr>
                <w:rFonts w:cstheme="minorHAnsi"/>
                <w:sz w:val="20"/>
                <w:szCs w:val="17"/>
              </w:rPr>
              <w:t xml:space="preserve">. </w:t>
            </w:r>
            <w:proofErr w:type="spellStart"/>
            <w:r w:rsidRPr="00AC02F8">
              <w:rPr>
                <w:rFonts w:cstheme="minorHAnsi"/>
                <w:b/>
                <w:bCs/>
                <w:sz w:val="20"/>
                <w:szCs w:val="17"/>
              </w:rPr>
              <w:t>Mª</w:t>
            </w:r>
            <w:proofErr w:type="spellEnd"/>
            <w:r w:rsidRPr="00AC02F8">
              <w:rPr>
                <w:rFonts w:cstheme="minorHAnsi"/>
                <w:b/>
                <w:bCs/>
                <w:sz w:val="20"/>
                <w:szCs w:val="17"/>
              </w:rPr>
              <w:t xml:space="preserve"> Ángeles Gómez (2h)</w:t>
            </w:r>
          </w:p>
        </w:tc>
        <w:tc>
          <w:tcPr>
            <w:tcW w:w="3402" w:type="dxa"/>
            <w:vMerge/>
            <w:shd w:val="clear" w:color="auto" w:fill="FFC000"/>
            <w:vAlign w:val="center"/>
          </w:tcPr>
          <w:p w14:paraId="5B8C714A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09" w:type="dxa"/>
            <w:vMerge/>
            <w:shd w:val="clear" w:color="auto" w:fill="FFFF00"/>
            <w:vAlign w:val="center"/>
          </w:tcPr>
          <w:p w14:paraId="35E2FCE6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D6D5F" w:rsidRPr="00501320" w14:paraId="505CDD9D" w14:textId="77777777" w:rsidTr="005074E9">
        <w:trPr>
          <w:jc w:val="center"/>
        </w:trPr>
        <w:tc>
          <w:tcPr>
            <w:tcW w:w="3539" w:type="dxa"/>
            <w:shd w:val="clear" w:color="auto" w:fill="000000" w:themeFill="text1"/>
            <w:vAlign w:val="center"/>
          </w:tcPr>
          <w:p w14:paraId="675FCB54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14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610845FB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1571A0AD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16</w:t>
            </w:r>
          </w:p>
        </w:tc>
        <w:tc>
          <w:tcPr>
            <w:tcW w:w="3509" w:type="dxa"/>
            <w:shd w:val="clear" w:color="auto" w:fill="000000" w:themeFill="text1"/>
            <w:vAlign w:val="center"/>
          </w:tcPr>
          <w:p w14:paraId="432DD54E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17</w:t>
            </w:r>
          </w:p>
        </w:tc>
      </w:tr>
      <w:tr w:rsidR="007D6D5F" w:rsidRPr="00501320" w14:paraId="7A4D155F" w14:textId="77777777" w:rsidTr="00AC02F8">
        <w:trPr>
          <w:trHeight w:val="775"/>
          <w:jc w:val="center"/>
        </w:trPr>
        <w:tc>
          <w:tcPr>
            <w:tcW w:w="3539" w:type="dxa"/>
            <w:shd w:val="clear" w:color="auto" w:fill="9CC2E5" w:themeFill="accent5" w:themeFillTint="99"/>
            <w:vAlign w:val="center"/>
          </w:tcPr>
          <w:p w14:paraId="15AEA66E" w14:textId="77777777" w:rsidR="007D6D5F" w:rsidRPr="00501320" w:rsidRDefault="007D6D5F" w:rsidP="007D6D5F">
            <w:pPr>
              <w:shd w:val="clear" w:color="auto" w:fill="9CC2E5" w:themeFill="accent5" w:themeFillTint="99"/>
              <w:jc w:val="both"/>
              <w:rPr>
                <w:rFonts w:cstheme="minorHAnsi"/>
                <w:sz w:val="20"/>
              </w:rPr>
            </w:pPr>
          </w:p>
          <w:p w14:paraId="68338DFE" w14:textId="77777777" w:rsidR="007D6D5F" w:rsidRPr="00501320" w:rsidRDefault="007D6D5F" w:rsidP="007D6D5F">
            <w:pPr>
              <w:shd w:val="clear" w:color="auto" w:fill="9CC2E5" w:themeFill="accent5" w:themeFillTint="99"/>
              <w:jc w:val="both"/>
              <w:rPr>
                <w:rFonts w:cstheme="minorHAnsi"/>
                <w:sz w:val="20"/>
              </w:rPr>
            </w:pPr>
          </w:p>
          <w:p w14:paraId="1CDB46C8" w14:textId="5B3E6F3F" w:rsidR="007D6D5F" w:rsidRPr="00AC02F8" w:rsidRDefault="007D6D5F" w:rsidP="007D6D5F">
            <w:pPr>
              <w:pStyle w:val="Prrafodelista"/>
              <w:numPr>
                <w:ilvl w:val="0"/>
                <w:numId w:val="5"/>
              </w:numPr>
              <w:spacing w:before="150" w:after="150"/>
              <w:ind w:left="176" w:hanging="142"/>
              <w:rPr>
                <w:rFonts w:cstheme="minorHAnsi"/>
                <w:sz w:val="20"/>
                <w:szCs w:val="17"/>
              </w:rPr>
            </w:pPr>
            <w:r w:rsidRPr="00AC02F8">
              <w:rPr>
                <w:rFonts w:cstheme="minorHAnsi"/>
                <w:sz w:val="20"/>
                <w:szCs w:val="17"/>
              </w:rPr>
              <w:t>Directiva ECN+ y su transposición</w:t>
            </w:r>
            <w:r>
              <w:rPr>
                <w:rFonts w:cstheme="minorHAnsi"/>
                <w:sz w:val="20"/>
                <w:szCs w:val="17"/>
              </w:rPr>
              <w:t xml:space="preserve">. 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>M</w:t>
            </w:r>
            <w:r>
              <w:rPr>
                <w:rFonts w:cstheme="minorHAnsi"/>
                <w:b/>
                <w:bCs/>
                <w:sz w:val="20"/>
                <w:szCs w:val="17"/>
              </w:rPr>
              <w:t>aría</w:t>
            </w:r>
            <w:r w:rsidRPr="00AC02F8">
              <w:rPr>
                <w:rFonts w:cstheme="minorHAnsi"/>
                <w:b/>
                <w:bCs/>
                <w:sz w:val="20"/>
                <w:szCs w:val="17"/>
              </w:rPr>
              <w:t xml:space="preserve"> Cruz Arcos (2h)</w:t>
            </w:r>
          </w:p>
          <w:p w14:paraId="233723A6" w14:textId="77777777" w:rsidR="007D6D5F" w:rsidRPr="00501320" w:rsidRDefault="007D6D5F" w:rsidP="007D6D5F">
            <w:pPr>
              <w:shd w:val="clear" w:color="auto" w:fill="9CC2E5" w:themeFill="accent5" w:themeFillTint="99"/>
              <w:jc w:val="both"/>
              <w:rPr>
                <w:rFonts w:cstheme="minorHAnsi"/>
                <w:sz w:val="20"/>
              </w:rPr>
            </w:pPr>
          </w:p>
          <w:p w14:paraId="155F6B9A" w14:textId="77777777" w:rsidR="007D6D5F" w:rsidRPr="00501320" w:rsidRDefault="007D6D5F" w:rsidP="007D6D5F">
            <w:pPr>
              <w:shd w:val="clear" w:color="auto" w:fill="9CC2E5" w:themeFill="accent5" w:themeFillTint="99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8AFB3B0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578D1804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5ADF2A51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3E674F99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1C65892F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7E4C996D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5BA6E421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2C8AB7CE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60BA304D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61DBEB56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4CE03BA0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FFFF00"/>
            <w:vAlign w:val="center"/>
          </w:tcPr>
          <w:p w14:paraId="515C4CDB" w14:textId="17F3470F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Control de concentraciones</w:t>
            </w:r>
            <w:r>
              <w:rPr>
                <w:rFonts w:cstheme="minorHAnsi"/>
                <w:sz w:val="20"/>
              </w:rPr>
              <w:t>.</w:t>
            </w:r>
            <w:r w:rsidRPr="00501320">
              <w:rPr>
                <w:rFonts w:cstheme="minorHAnsi"/>
                <w:sz w:val="20"/>
              </w:rPr>
              <w:t xml:space="preserve"> </w:t>
            </w:r>
            <w:r w:rsidRPr="00537B77">
              <w:rPr>
                <w:rFonts w:cstheme="minorHAnsi"/>
                <w:b/>
                <w:bCs/>
                <w:sz w:val="20"/>
              </w:rPr>
              <w:t>Belén Irissarry (4h)</w:t>
            </w:r>
          </w:p>
        </w:tc>
        <w:tc>
          <w:tcPr>
            <w:tcW w:w="3509" w:type="dxa"/>
            <w:vMerge w:val="restart"/>
            <w:shd w:val="clear" w:color="auto" w:fill="FFFF00"/>
            <w:vAlign w:val="center"/>
          </w:tcPr>
          <w:p w14:paraId="5CFD3E54" w14:textId="5BC11B8B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 xml:space="preserve">Ayudas de </w:t>
            </w:r>
            <w:proofErr w:type="spellStart"/>
            <w:r>
              <w:rPr>
                <w:rFonts w:cstheme="minorHAnsi"/>
                <w:sz w:val="20"/>
              </w:rPr>
              <w:t>E</w:t>
            </w:r>
            <w:r w:rsidRPr="00501320">
              <w:rPr>
                <w:rFonts w:cstheme="minorHAnsi"/>
                <w:sz w:val="20"/>
              </w:rPr>
              <w:t>stado</w:t>
            </w:r>
            <w:r>
              <w:rPr>
                <w:rFonts w:cstheme="minorHAnsi"/>
                <w:sz w:val="20"/>
              </w:rPr>
              <w:t xml:space="preserve">. </w:t>
            </w:r>
            <w:proofErr w:type="spellEnd"/>
            <w:r w:rsidRPr="00537B77">
              <w:rPr>
                <w:rFonts w:cstheme="minorHAnsi"/>
                <w:b/>
                <w:bCs/>
                <w:sz w:val="20"/>
              </w:rPr>
              <w:t>Palma Muñoz (4h)</w:t>
            </w:r>
            <w:r w:rsidRPr="00501320">
              <w:rPr>
                <w:rFonts w:cstheme="minorHAnsi"/>
                <w:sz w:val="20"/>
              </w:rPr>
              <w:t xml:space="preserve">  </w:t>
            </w:r>
          </w:p>
        </w:tc>
      </w:tr>
      <w:tr w:rsidR="007D6D5F" w:rsidRPr="00501320" w14:paraId="2C077869" w14:textId="77777777" w:rsidTr="00AC02F8">
        <w:trPr>
          <w:trHeight w:val="775"/>
          <w:jc w:val="center"/>
        </w:trPr>
        <w:tc>
          <w:tcPr>
            <w:tcW w:w="3539" w:type="dxa"/>
            <w:shd w:val="clear" w:color="auto" w:fill="FFFF00"/>
            <w:vAlign w:val="center"/>
          </w:tcPr>
          <w:p w14:paraId="7A39DD30" w14:textId="25CC8F34" w:rsidR="007D6D5F" w:rsidRPr="00537B77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37B77">
              <w:rPr>
                <w:rFonts w:cstheme="minorHAnsi"/>
                <w:sz w:val="20"/>
              </w:rPr>
              <w:t>Las autoridades de competencia y sus funciones</w:t>
            </w:r>
            <w:r>
              <w:rPr>
                <w:rFonts w:cstheme="minorHAnsi"/>
                <w:sz w:val="20"/>
              </w:rPr>
              <w:t>.</w:t>
            </w:r>
            <w:r w:rsidRPr="00537B77">
              <w:rPr>
                <w:rFonts w:cstheme="minorHAnsi"/>
                <w:sz w:val="20"/>
              </w:rPr>
              <w:t xml:space="preserve"> </w:t>
            </w:r>
            <w:r w:rsidRPr="00537B77">
              <w:rPr>
                <w:rFonts w:cstheme="minorHAnsi"/>
                <w:b/>
                <w:bCs/>
                <w:sz w:val="20"/>
              </w:rPr>
              <w:t>Francisco Marcos (2h)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8E7680F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14:paraId="008FD767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09" w:type="dxa"/>
            <w:vMerge/>
            <w:shd w:val="clear" w:color="auto" w:fill="FFFF00"/>
            <w:vAlign w:val="center"/>
          </w:tcPr>
          <w:p w14:paraId="294736A1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D6D5F" w:rsidRPr="00501320" w14:paraId="47C2ACB6" w14:textId="77777777" w:rsidTr="005074E9">
        <w:trPr>
          <w:jc w:val="center"/>
        </w:trPr>
        <w:tc>
          <w:tcPr>
            <w:tcW w:w="3539" w:type="dxa"/>
            <w:shd w:val="clear" w:color="auto" w:fill="000000" w:themeFill="text1"/>
            <w:vAlign w:val="center"/>
          </w:tcPr>
          <w:p w14:paraId="35A322C8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lastRenderedPageBreak/>
              <w:t>21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4E7A318D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bookmarkStart w:id="7" w:name="_GoBack"/>
            <w:bookmarkEnd w:id="7"/>
            <w:r w:rsidRPr="00501320">
              <w:rPr>
                <w:rFonts w:cstheme="minorHAnsi"/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40CBDD1E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23</w:t>
            </w:r>
          </w:p>
        </w:tc>
        <w:tc>
          <w:tcPr>
            <w:tcW w:w="3509" w:type="dxa"/>
            <w:shd w:val="clear" w:color="auto" w:fill="000000" w:themeFill="text1"/>
            <w:vAlign w:val="center"/>
          </w:tcPr>
          <w:p w14:paraId="67EE9B24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24</w:t>
            </w:r>
          </w:p>
        </w:tc>
      </w:tr>
      <w:tr w:rsidR="007D6D5F" w:rsidRPr="00501320" w14:paraId="6C618676" w14:textId="77777777" w:rsidTr="00AC02F8">
        <w:trPr>
          <w:jc w:val="center"/>
        </w:trPr>
        <w:tc>
          <w:tcPr>
            <w:tcW w:w="3539" w:type="dxa"/>
            <w:vMerge w:val="restart"/>
            <w:shd w:val="clear" w:color="auto" w:fill="FFFF00"/>
            <w:vAlign w:val="center"/>
          </w:tcPr>
          <w:p w14:paraId="1268ACE5" w14:textId="7F24AD86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Abuso de Posición de Dominio</w:t>
            </w:r>
            <w:r>
              <w:rPr>
                <w:rFonts w:cstheme="minorHAnsi"/>
                <w:sz w:val="20"/>
              </w:rPr>
              <w:t xml:space="preserve">. </w:t>
            </w:r>
            <w:r w:rsidRPr="00537B77">
              <w:rPr>
                <w:rFonts w:cstheme="minorHAnsi"/>
                <w:b/>
                <w:bCs/>
                <w:sz w:val="20"/>
              </w:rPr>
              <w:t xml:space="preserve">Alfonso López-Escobar </w:t>
            </w:r>
            <w:r>
              <w:rPr>
                <w:rFonts w:cstheme="minorHAnsi"/>
                <w:b/>
                <w:bCs/>
                <w:sz w:val="20"/>
              </w:rPr>
              <w:t>(</w:t>
            </w:r>
            <w:r w:rsidRPr="00537B77">
              <w:rPr>
                <w:rFonts w:cstheme="minorHAnsi"/>
                <w:b/>
                <w:bCs/>
                <w:sz w:val="20"/>
              </w:rPr>
              <w:t>2h</w:t>
            </w:r>
            <w:r>
              <w:rPr>
                <w:rFonts w:cstheme="minorHAnsi"/>
                <w:b/>
                <w:bCs/>
                <w:sz w:val="20"/>
              </w:rPr>
              <w:t>)/</w:t>
            </w:r>
            <w:r w:rsidRPr="00537B77">
              <w:rPr>
                <w:rFonts w:cstheme="minorHAnsi"/>
                <w:b/>
                <w:bCs/>
                <w:sz w:val="20"/>
              </w:rPr>
              <w:t xml:space="preserve">Luis Palma </w:t>
            </w:r>
            <w:r>
              <w:rPr>
                <w:rFonts w:cstheme="minorHAnsi"/>
                <w:b/>
                <w:bCs/>
                <w:sz w:val="20"/>
              </w:rPr>
              <w:t>(</w:t>
            </w:r>
            <w:r w:rsidRPr="00537B77">
              <w:rPr>
                <w:rFonts w:cstheme="minorHAnsi"/>
                <w:b/>
                <w:bCs/>
                <w:sz w:val="20"/>
              </w:rPr>
              <w:t>2h)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4BD7A72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040F5C88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5C5D7D36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0999561D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5A8953AD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615BF614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  <w:p w14:paraId="1FFC3C21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92D050"/>
            <w:vAlign w:val="center"/>
          </w:tcPr>
          <w:p w14:paraId="2A9B6FD1" w14:textId="66AFB9C2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 xml:space="preserve">Los principios de la buena regulación. Paradigmas y su difusión. </w:t>
            </w:r>
            <w:r w:rsidRPr="00537B77">
              <w:rPr>
                <w:rFonts w:cstheme="minorHAnsi"/>
                <w:b/>
                <w:bCs/>
                <w:sz w:val="20"/>
                <w:szCs w:val="17"/>
              </w:rPr>
              <w:t>José Félix Riscos (2h)</w:t>
            </w:r>
            <w:r w:rsidRPr="00537B77">
              <w:rPr>
                <w:rFonts w:cstheme="minorHAnsi"/>
                <w:b/>
                <w:bCs/>
                <w:sz w:val="20"/>
              </w:rPr>
              <w:t xml:space="preserve">; </w:t>
            </w:r>
            <w:proofErr w:type="spellStart"/>
            <w:r w:rsidRPr="00537B77">
              <w:rPr>
                <w:rFonts w:cstheme="minorHAnsi"/>
                <w:b/>
                <w:bCs/>
                <w:sz w:val="20"/>
                <w:szCs w:val="17"/>
              </w:rPr>
              <w:t>Mª</w:t>
            </w:r>
            <w:proofErr w:type="spellEnd"/>
            <w:r w:rsidRPr="00537B77">
              <w:rPr>
                <w:rFonts w:cstheme="minorHAnsi"/>
                <w:b/>
                <w:bCs/>
                <w:sz w:val="20"/>
                <w:szCs w:val="17"/>
              </w:rPr>
              <w:t xml:space="preserve"> Victoria Román (2h</w:t>
            </w:r>
            <w:r w:rsidRPr="00537B77">
              <w:rPr>
                <w:rFonts w:cstheme="minorHAnsi"/>
                <w:b/>
                <w:bCs/>
                <w:sz w:val="20"/>
              </w:rPr>
              <w:t>)</w:t>
            </w:r>
          </w:p>
        </w:tc>
        <w:tc>
          <w:tcPr>
            <w:tcW w:w="3509" w:type="dxa"/>
            <w:shd w:val="clear" w:color="auto" w:fill="92D050"/>
            <w:vAlign w:val="center"/>
          </w:tcPr>
          <w:p w14:paraId="281D76C0" w14:textId="608B0470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Estudio de casos: VTC y viviendas turísticas</w:t>
            </w:r>
            <w:r>
              <w:rPr>
                <w:rFonts w:cstheme="minorHAnsi"/>
                <w:sz w:val="20"/>
              </w:rPr>
              <w:t xml:space="preserve">. </w:t>
            </w:r>
            <w:r w:rsidRPr="00537B77">
              <w:rPr>
                <w:rFonts w:cstheme="minorHAnsi"/>
                <w:b/>
                <w:bCs/>
                <w:sz w:val="20"/>
              </w:rPr>
              <w:t>José Félix Riscos (2h)</w:t>
            </w:r>
          </w:p>
          <w:p w14:paraId="0D6164B7" w14:textId="77777777" w:rsidR="007D6D5F" w:rsidRPr="00501320" w:rsidRDefault="007D6D5F" w:rsidP="007D6D5F">
            <w:pPr>
              <w:pStyle w:val="Prrafodelista"/>
              <w:ind w:left="177"/>
              <w:jc w:val="both"/>
              <w:rPr>
                <w:rFonts w:cstheme="minorHAnsi"/>
                <w:sz w:val="20"/>
              </w:rPr>
            </w:pPr>
          </w:p>
        </w:tc>
      </w:tr>
      <w:tr w:rsidR="007D6D5F" w:rsidRPr="00501320" w14:paraId="34C9F8E5" w14:textId="77777777" w:rsidTr="00AC02F8">
        <w:trPr>
          <w:jc w:val="center"/>
        </w:trPr>
        <w:tc>
          <w:tcPr>
            <w:tcW w:w="3539" w:type="dxa"/>
            <w:vMerge/>
            <w:shd w:val="clear" w:color="auto" w:fill="FFFF00"/>
            <w:vAlign w:val="center"/>
          </w:tcPr>
          <w:p w14:paraId="74704FBB" w14:textId="77777777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3AFA44F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vMerge/>
            <w:shd w:val="clear" w:color="auto" w:fill="92D050"/>
            <w:vAlign w:val="center"/>
          </w:tcPr>
          <w:p w14:paraId="543F296A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09" w:type="dxa"/>
            <w:shd w:val="clear" w:color="auto" w:fill="9CC2E5" w:themeFill="accent5" w:themeFillTint="99"/>
            <w:vAlign w:val="center"/>
          </w:tcPr>
          <w:p w14:paraId="167F82CF" w14:textId="01F0C8EA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Estudios de replicabilidad económica</w:t>
            </w:r>
            <w:r>
              <w:rPr>
                <w:rFonts w:cstheme="minorHAnsi"/>
                <w:sz w:val="20"/>
              </w:rPr>
              <w:t>.</w:t>
            </w:r>
            <w:r w:rsidRPr="00501320">
              <w:rPr>
                <w:rFonts w:cstheme="minorHAnsi"/>
                <w:sz w:val="20"/>
              </w:rPr>
              <w:t xml:space="preserve"> </w:t>
            </w:r>
            <w:r w:rsidRPr="00812820">
              <w:rPr>
                <w:rFonts w:cstheme="minorHAnsi"/>
                <w:b/>
                <w:bCs/>
                <w:sz w:val="20"/>
              </w:rPr>
              <w:t>Christian Chase (2h)</w:t>
            </w:r>
          </w:p>
        </w:tc>
      </w:tr>
      <w:tr w:rsidR="007D6D5F" w:rsidRPr="00501320" w14:paraId="62465C66" w14:textId="77777777" w:rsidTr="005074E9">
        <w:trPr>
          <w:jc w:val="center"/>
        </w:trPr>
        <w:tc>
          <w:tcPr>
            <w:tcW w:w="3539" w:type="dxa"/>
            <w:shd w:val="clear" w:color="auto" w:fill="000000" w:themeFill="text1"/>
            <w:vAlign w:val="center"/>
          </w:tcPr>
          <w:p w14:paraId="435E3DC9" w14:textId="77777777" w:rsidR="007D6D5F" w:rsidRPr="00537B77" w:rsidRDefault="007D6D5F" w:rsidP="007D6D5F">
            <w:pPr>
              <w:ind w:left="36"/>
              <w:jc w:val="right"/>
              <w:rPr>
                <w:rFonts w:cstheme="minorHAnsi"/>
                <w:b/>
                <w:bCs/>
                <w:sz w:val="20"/>
              </w:rPr>
            </w:pPr>
            <w:r w:rsidRPr="00537B77">
              <w:rPr>
                <w:rFonts w:cstheme="minorHAnsi"/>
                <w:b/>
                <w:bCs/>
                <w:sz w:val="20"/>
              </w:rPr>
              <w:t>28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117524A2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560B21CF" w14:textId="77777777" w:rsidR="007D6D5F" w:rsidRPr="00501320" w:rsidRDefault="007D6D5F" w:rsidP="007D6D5F">
            <w:pPr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30</w:t>
            </w:r>
          </w:p>
        </w:tc>
        <w:tc>
          <w:tcPr>
            <w:tcW w:w="3509" w:type="dxa"/>
            <w:shd w:val="clear" w:color="auto" w:fill="000000" w:themeFill="text1"/>
            <w:vAlign w:val="center"/>
          </w:tcPr>
          <w:p w14:paraId="041CDC91" w14:textId="77777777" w:rsidR="007D6D5F" w:rsidRPr="00501320" w:rsidRDefault="007D6D5F" w:rsidP="007D6D5F">
            <w:pPr>
              <w:ind w:left="708"/>
              <w:jc w:val="right"/>
              <w:rPr>
                <w:rFonts w:cstheme="minorHAnsi"/>
                <w:b/>
                <w:sz w:val="20"/>
              </w:rPr>
            </w:pPr>
            <w:r w:rsidRPr="00501320">
              <w:rPr>
                <w:rFonts w:cstheme="minorHAnsi"/>
                <w:b/>
                <w:sz w:val="20"/>
              </w:rPr>
              <w:t>31</w:t>
            </w:r>
          </w:p>
        </w:tc>
      </w:tr>
      <w:tr w:rsidR="007D6D5F" w:rsidRPr="00501320" w14:paraId="733DB804" w14:textId="77777777" w:rsidTr="00AC02F8">
        <w:trPr>
          <w:trHeight w:val="709"/>
          <w:jc w:val="center"/>
        </w:trPr>
        <w:tc>
          <w:tcPr>
            <w:tcW w:w="3539" w:type="dxa"/>
            <w:vMerge w:val="restart"/>
            <w:shd w:val="clear" w:color="auto" w:fill="BDD6EE" w:themeFill="accent5" w:themeFillTint="66"/>
            <w:vAlign w:val="center"/>
          </w:tcPr>
          <w:p w14:paraId="405397F6" w14:textId="162CDD18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Aplicación privada de la Política de Competencia</w:t>
            </w:r>
            <w:r>
              <w:rPr>
                <w:rFonts w:cstheme="minorHAnsi"/>
                <w:sz w:val="20"/>
              </w:rPr>
              <w:t xml:space="preserve">. </w:t>
            </w:r>
            <w:r w:rsidRPr="00537B77">
              <w:rPr>
                <w:rFonts w:cstheme="minorHAnsi"/>
                <w:b/>
                <w:bCs/>
                <w:sz w:val="20"/>
              </w:rPr>
              <w:t xml:space="preserve">Juan Delgado </w:t>
            </w:r>
            <w:r>
              <w:rPr>
                <w:rFonts w:cstheme="minorHAnsi"/>
                <w:b/>
                <w:bCs/>
                <w:sz w:val="20"/>
              </w:rPr>
              <w:t>(</w:t>
            </w:r>
            <w:r w:rsidRPr="00537B77">
              <w:rPr>
                <w:rFonts w:cstheme="minorHAnsi"/>
                <w:b/>
                <w:bCs/>
                <w:sz w:val="20"/>
              </w:rPr>
              <w:t>2h)</w:t>
            </w:r>
          </w:p>
          <w:p w14:paraId="61F98937" w14:textId="77777777" w:rsidR="007D6D5F" w:rsidRPr="00501320" w:rsidRDefault="007D6D5F" w:rsidP="007D6D5F">
            <w:pPr>
              <w:pStyle w:val="Prrafodelista"/>
              <w:ind w:left="177"/>
              <w:jc w:val="both"/>
              <w:rPr>
                <w:rFonts w:cstheme="minorHAnsi"/>
                <w:sz w:val="20"/>
              </w:rPr>
            </w:pPr>
          </w:p>
          <w:p w14:paraId="7142D69B" w14:textId="173BB527" w:rsidR="007D6D5F" w:rsidRPr="00537B77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 xml:space="preserve"> La Contratación Pública</w:t>
            </w:r>
            <w:r>
              <w:rPr>
                <w:rFonts w:cstheme="minorHAnsi"/>
                <w:sz w:val="20"/>
              </w:rPr>
              <w:t xml:space="preserve">. </w:t>
            </w:r>
            <w:proofErr w:type="spellStart"/>
            <w:r w:rsidRPr="00537B77">
              <w:rPr>
                <w:rFonts w:cstheme="minorHAnsi"/>
                <w:b/>
                <w:bCs/>
                <w:sz w:val="20"/>
              </w:rPr>
              <w:t>Mª</w:t>
            </w:r>
            <w:proofErr w:type="spellEnd"/>
            <w:r w:rsidRPr="00537B77">
              <w:rPr>
                <w:rFonts w:cstheme="minorHAnsi"/>
                <w:b/>
                <w:bCs/>
                <w:sz w:val="20"/>
              </w:rPr>
              <w:t xml:space="preserve"> Ángeles Gómez </w:t>
            </w:r>
            <w:r>
              <w:rPr>
                <w:rFonts w:cstheme="minorHAnsi"/>
                <w:b/>
                <w:bCs/>
                <w:sz w:val="20"/>
              </w:rPr>
              <w:t>(</w:t>
            </w:r>
            <w:r w:rsidRPr="00537B77">
              <w:rPr>
                <w:rFonts w:cstheme="minorHAnsi"/>
                <w:b/>
                <w:bCs/>
                <w:sz w:val="20"/>
              </w:rPr>
              <w:t>2h)</w:t>
            </w:r>
          </w:p>
        </w:tc>
        <w:tc>
          <w:tcPr>
            <w:tcW w:w="3544" w:type="dxa"/>
            <w:vMerge w:val="restart"/>
            <w:shd w:val="clear" w:color="auto" w:fill="92D050"/>
            <w:vAlign w:val="center"/>
          </w:tcPr>
          <w:p w14:paraId="2C2FE64E" w14:textId="3131C846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Informes de proyectos normativos</w:t>
            </w:r>
            <w:r>
              <w:rPr>
                <w:rFonts w:cstheme="minorHAnsi"/>
                <w:sz w:val="20"/>
              </w:rPr>
              <w:t xml:space="preserve">. </w:t>
            </w:r>
            <w:r w:rsidRPr="00537B77">
              <w:rPr>
                <w:rFonts w:cstheme="minorHAnsi"/>
                <w:b/>
                <w:bCs/>
                <w:sz w:val="20"/>
              </w:rPr>
              <w:t>Luis Palma (2h)/</w:t>
            </w:r>
            <w:proofErr w:type="spellStart"/>
            <w:r w:rsidRPr="00537B77">
              <w:rPr>
                <w:rFonts w:cstheme="minorHAnsi"/>
                <w:b/>
                <w:bCs/>
                <w:sz w:val="20"/>
              </w:rPr>
              <w:t>Mª</w:t>
            </w:r>
            <w:proofErr w:type="spellEnd"/>
            <w:r w:rsidRPr="00537B77">
              <w:rPr>
                <w:rFonts w:cstheme="minorHAnsi"/>
                <w:b/>
                <w:bCs/>
                <w:sz w:val="20"/>
              </w:rPr>
              <w:t xml:space="preserve"> Cruz Arcos (2h)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  <w:vAlign w:val="center"/>
          </w:tcPr>
          <w:p w14:paraId="44A30AB0" w14:textId="2057E13D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Economía digital</w:t>
            </w:r>
            <w:r>
              <w:rPr>
                <w:rFonts w:cstheme="minorHAnsi"/>
                <w:sz w:val="20"/>
              </w:rPr>
              <w:t xml:space="preserve">. </w:t>
            </w:r>
            <w:r w:rsidRPr="00812820">
              <w:rPr>
                <w:rFonts w:cstheme="minorHAnsi"/>
                <w:b/>
                <w:bCs/>
                <w:sz w:val="20"/>
              </w:rPr>
              <w:t>Antonio Robles (2h)</w:t>
            </w:r>
          </w:p>
          <w:p w14:paraId="3DDDDF4C" w14:textId="77777777" w:rsidR="007D6D5F" w:rsidRPr="00501320" w:rsidRDefault="007D6D5F" w:rsidP="007D6D5F">
            <w:pPr>
              <w:pStyle w:val="Prrafodelista"/>
              <w:ind w:left="177"/>
              <w:jc w:val="both"/>
              <w:rPr>
                <w:rFonts w:cstheme="minorHAnsi"/>
                <w:sz w:val="20"/>
              </w:rPr>
            </w:pPr>
          </w:p>
          <w:p w14:paraId="03CC4CE4" w14:textId="5B9537A5" w:rsidR="007D6D5F" w:rsidRPr="00501320" w:rsidRDefault="007D6D5F" w:rsidP="007D6D5F">
            <w:pPr>
              <w:pStyle w:val="Prrafodelista"/>
              <w:numPr>
                <w:ilvl w:val="0"/>
                <w:numId w:val="5"/>
              </w:numPr>
              <w:ind w:left="177" w:hanging="141"/>
              <w:jc w:val="both"/>
              <w:rPr>
                <w:rFonts w:cstheme="minorHAnsi"/>
                <w:sz w:val="20"/>
              </w:rPr>
            </w:pPr>
            <w:r w:rsidRPr="00501320">
              <w:rPr>
                <w:rFonts w:cstheme="minorHAnsi"/>
                <w:sz w:val="20"/>
              </w:rPr>
              <w:t>La internacionalización de la Política de Competencia</w:t>
            </w:r>
            <w:r>
              <w:rPr>
                <w:rFonts w:cstheme="minorHAnsi"/>
                <w:sz w:val="20"/>
              </w:rPr>
              <w:t xml:space="preserve">. </w:t>
            </w:r>
            <w:r w:rsidRPr="00812820">
              <w:rPr>
                <w:rFonts w:cstheme="minorHAnsi"/>
                <w:b/>
                <w:bCs/>
                <w:sz w:val="20"/>
              </w:rPr>
              <w:t>José Luis García (2h)</w:t>
            </w:r>
          </w:p>
        </w:tc>
        <w:tc>
          <w:tcPr>
            <w:tcW w:w="3509" w:type="dxa"/>
            <w:vMerge w:val="restart"/>
            <w:shd w:val="clear" w:color="auto" w:fill="FFFFFF" w:themeFill="background1"/>
            <w:vAlign w:val="center"/>
          </w:tcPr>
          <w:p w14:paraId="4FAE77FB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7D6D5F" w:rsidRPr="00501320" w14:paraId="08D7B57C" w14:textId="77777777" w:rsidTr="00AC02F8">
        <w:trPr>
          <w:trHeight w:val="244"/>
          <w:jc w:val="center"/>
        </w:trPr>
        <w:tc>
          <w:tcPr>
            <w:tcW w:w="3539" w:type="dxa"/>
            <w:vMerge/>
            <w:shd w:val="clear" w:color="auto" w:fill="BDD6EE" w:themeFill="accent5" w:themeFillTint="66"/>
            <w:vAlign w:val="center"/>
          </w:tcPr>
          <w:p w14:paraId="21C95782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44" w:type="dxa"/>
            <w:vMerge/>
            <w:shd w:val="clear" w:color="auto" w:fill="92D050"/>
            <w:vAlign w:val="center"/>
          </w:tcPr>
          <w:p w14:paraId="442ED8FD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vMerge/>
            <w:shd w:val="clear" w:color="auto" w:fill="B4C6E7" w:themeFill="accent1" w:themeFillTint="66"/>
            <w:vAlign w:val="center"/>
          </w:tcPr>
          <w:p w14:paraId="544735AE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09" w:type="dxa"/>
            <w:vMerge/>
            <w:shd w:val="clear" w:color="auto" w:fill="FFFFFF" w:themeFill="background1"/>
            <w:vAlign w:val="center"/>
          </w:tcPr>
          <w:p w14:paraId="4AE330E6" w14:textId="77777777" w:rsidR="007D6D5F" w:rsidRPr="00501320" w:rsidRDefault="007D6D5F" w:rsidP="007D6D5F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565A05ED" w14:textId="77777777" w:rsidR="00EE67E1" w:rsidRPr="00501320" w:rsidRDefault="00EE67E1" w:rsidP="002551A0">
      <w:pPr>
        <w:rPr>
          <w:rFonts w:cstheme="minorHAnsi"/>
        </w:rPr>
      </w:pPr>
    </w:p>
    <w:p w14:paraId="56A2318F" w14:textId="77777777" w:rsidR="00E25E50" w:rsidRPr="00501320" w:rsidRDefault="00E25E50" w:rsidP="002551A0">
      <w:pPr>
        <w:rPr>
          <w:rFonts w:cstheme="minorHAnsi"/>
        </w:rPr>
      </w:pPr>
    </w:p>
    <w:p w14:paraId="27541A56" w14:textId="77777777" w:rsidR="00E25E50" w:rsidRPr="00501320" w:rsidRDefault="00E25E50" w:rsidP="002551A0">
      <w:pPr>
        <w:rPr>
          <w:rFonts w:cstheme="minorHAnsi"/>
        </w:rPr>
      </w:pPr>
    </w:p>
    <w:sectPr w:rsidR="00E25E50" w:rsidRPr="00501320" w:rsidSect="002551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ADDB" w14:textId="77777777" w:rsidR="003C09D9" w:rsidRDefault="003C09D9" w:rsidP="002551A0">
      <w:pPr>
        <w:spacing w:after="0" w:line="240" w:lineRule="auto"/>
      </w:pPr>
      <w:r>
        <w:separator/>
      </w:r>
    </w:p>
  </w:endnote>
  <w:endnote w:type="continuationSeparator" w:id="0">
    <w:p w14:paraId="3EF05100" w14:textId="77777777" w:rsidR="003C09D9" w:rsidRDefault="003C09D9" w:rsidP="0025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2744" w14:textId="77777777" w:rsidR="003C09D9" w:rsidRDefault="003C09D9" w:rsidP="002551A0">
      <w:pPr>
        <w:spacing w:after="0" w:line="240" w:lineRule="auto"/>
      </w:pPr>
      <w:r>
        <w:separator/>
      </w:r>
    </w:p>
  </w:footnote>
  <w:footnote w:type="continuationSeparator" w:id="0">
    <w:p w14:paraId="6EFA4FF6" w14:textId="77777777" w:rsidR="003C09D9" w:rsidRDefault="003C09D9" w:rsidP="0025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4AD"/>
    <w:multiLevelType w:val="hybridMultilevel"/>
    <w:tmpl w:val="33BAAD10"/>
    <w:lvl w:ilvl="0" w:tplc="6E78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CC"/>
        <w:u w:color="BDD6EE" w:themeColor="accent5" w:themeTint="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7D0"/>
    <w:multiLevelType w:val="hybridMultilevel"/>
    <w:tmpl w:val="8E8E54B2"/>
    <w:lvl w:ilvl="0" w:tplc="6E78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CC"/>
        <w:u w:color="BDD6EE" w:themeColor="accent5" w:themeTint="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79A5"/>
    <w:multiLevelType w:val="hybridMultilevel"/>
    <w:tmpl w:val="309672FA"/>
    <w:lvl w:ilvl="0" w:tplc="FF7CF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BDD6EE" w:themeColor="accent5" w:themeTint="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BBA"/>
    <w:multiLevelType w:val="hybridMultilevel"/>
    <w:tmpl w:val="853A884C"/>
    <w:lvl w:ilvl="0" w:tplc="0F9EA78E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F3D94"/>
    <w:multiLevelType w:val="hybridMultilevel"/>
    <w:tmpl w:val="312CF378"/>
    <w:lvl w:ilvl="0" w:tplc="84867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E5"/>
    <w:rsid w:val="00044EF8"/>
    <w:rsid w:val="00066397"/>
    <w:rsid w:val="00113DA4"/>
    <w:rsid w:val="00132A1C"/>
    <w:rsid w:val="00142231"/>
    <w:rsid w:val="00166DC0"/>
    <w:rsid w:val="001C7F7A"/>
    <w:rsid w:val="002551A0"/>
    <w:rsid w:val="00257256"/>
    <w:rsid w:val="00286226"/>
    <w:rsid w:val="00296EAD"/>
    <w:rsid w:val="002A0684"/>
    <w:rsid w:val="002D4902"/>
    <w:rsid w:val="002D5D57"/>
    <w:rsid w:val="00312E07"/>
    <w:rsid w:val="00340F57"/>
    <w:rsid w:val="00365EBF"/>
    <w:rsid w:val="003A2A86"/>
    <w:rsid w:val="003A690A"/>
    <w:rsid w:val="003B4883"/>
    <w:rsid w:val="003C09D9"/>
    <w:rsid w:val="003D2513"/>
    <w:rsid w:val="004007B2"/>
    <w:rsid w:val="00496C6F"/>
    <w:rsid w:val="004A15A8"/>
    <w:rsid w:val="004B5D5E"/>
    <w:rsid w:val="004C1630"/>
    <w:rsid w:val="004E3F3E"/>
    <w:rsid w:val="004F0270"/>
    <w:rsid w:val="00501320"/>
    <w:rsid w:val="00502503"/>
    <w:rsid w:val="005074E9"/>
    <w:rsid w:val="0052344E"/>
    <w:rsid w:val="00537B77"/>
    <w:rsid w:val="0055691D"/>
    <w:rsid w:val="0058595A"/>
    <w:rsid w:val="00586D19"/>
    <w:rsid w:val="005F6DD8"/>
    <w:rsid w:val="0062414A"/>
    <w:rsid w:val="00702E28"/>
    <w:rsid w:val="007076D5"/>
    <w:rsid w:val="00750181"/>
    <w:rsid w:val="00781A11"/>
    <w:rsid w:val="007A3214"/>
    <w:rsid w:val="007D6D5F"/>
    <w:rsid w:val="00812820"/>
    <w:rsid w:val="00815083"/>
    <w:rsid w:val="0083459E"/>
    <w:rsid w:val="00856E36"/>
    <w:rsid w:val="00873283"/>
    <w:rsid w:val="008956E1"/>
    <w:rsid w:val="0089581F"/>
    <w:rsid w:val="008D5AF0"/>
    <w:rsid w:val="008E4761"/>
    <w:rsid w:val="008F1287"/>
    <w:rsid w:val="00915666"/>
    <w:rsid w:val="00971EF1"/>
    <w:rsid w:val="009801ED"/>
    <w:rsid w:val="009C08A8"/>
    <w:rsid w:val="009C5723"/>
    <w:rsid w:val="00A0400E"/>
    <w:rsid w:val="00A460AF"/>
    <w:rsid w:val="00AA3016"/>
    <w:rsid w:val="00AC02F8"/>
    <w:rsid w:val="00AF251A"/>
    <w:rsid w:val="00B16643"/>
    <w:rsid w:val="00B631E5"/>
    <w:rsid w:val="00B63D47"/>
    <w:rsid w:val="00C1636B"/>
    <w:rsid w:val="00C71164"/>
    <w:rsid w:val="00C94034"/>
    <w:rsid w:val="00CA2FE6"/>
    <w:rsid w:val="00CC7BB1"/>
    <w:rsid w:val="00CE469C"/>
    <w:rsid w:val="00CE59EC"/>
    <w:rsid w:val="00D26297"/>
    <w:rsid w:val="00D31CDD"/>
    <w:rsid w:val="00D57C74"/>
    <w:rsid w:val="00DB4EC5"/>
    <w:rsid w:val="00DD3F3D"/>
    <w:rsid w:val="00E029FD"/>
    <w:rsid w:val="00E25E50"/>
    <w:rsid w:val="00E708E9"/>
    <w:rsid w:val="00EE67E1"/>
    <w:rsid w:val="00EF5F94"/>
    <w:rsid w:val="00F012A7"/>
    <w:rsid w:val="00F05ED4"/>
    <w:rsid w:val="00F3148A"/>
    <w:rsid w:val="00F846F2"/>
    <w:rsid w:val="00F92F41"/>
    <w:rsid w:val="00FA4E0B"/>
    <w:rsid w:val="00FB0C31"/>
    <w:rsid w:val="00FD3B86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9DEA"/>
  <w15:docId w15:val="{7FA38F34-162E-4180-9E77-E3F2D33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06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5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1A0"/>
  </w:style>
  <w:style w:type="paragraph" w:styleId="Piedepgina">
    <w:name w:val="footer"/>
    <w:basedOn w:val="Normal"/>
    <w:link w:val="PiedepginaCar"/>
    <w:uiPriority w:val="99"/>
    <w:unhideWhenUsed/>
    <w:rsid w:val="00255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EB68CBD-5307-44FF-8CE2-F5E383F9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Martínez</dc:creator>
  <cp:keywords/>
  <dc:description/>
  <cp:lastModifiedBy>aaron espinosa</cp:lastModifiedBy>
  <cp:revision>18</cp:revision>
  <dcterms:created xsi:type="dcterms:W3CDTF">2019-10-04T08:00:00Z</dcterms:created>
  <dcterms:modified xsi:type="dcterms:W3CDTF">2019-10-04T08:26:00Z</dcterms:modified>
</cp:coreProperties>
</file>